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A71C" w14:textId="77777777" w:rsidR="00D43E91" w:rsidRPr="00EC6EAF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szCs w:val="24"/>
          <w:lang w:val="sq-AL"/>
        </w:rPr>
      </w:pPr>
      <w:r w:rsidRPr="00EC6EAF">
        <w:rPr>
          <w:b/>
          <w:bCs/>
          <w:caps/>
          <w:color w:val="000000"/>
          <w:sz w:val="24"/>
          <w:szCs w:val="24"/>
          <w:lang w:val="sq-AL"/>
        </w:rPr>
        <w:t>Kodi</w:t>
      </w:r>
    </w:p>
    <w:p w14:paraId="15FA9E96" w14:textId="77777777" w:rsidR="00D43E91" w:rsidRPr="00EC6EAF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szCs w:val="24"/>
          <w:lang w:val="sq-AL"/>
        </w:rPr>
      </w:pPr>
      <w:r w:rsidRPr="00EC6EAF">
        <w:rPr>
          <w:b/>
          <w:bCs/>
          <w:caps/>
          <w:sz w:val="24"/>
          <w:szCs w:val="24"/>
          <w:lang w:val="sq-AL"/>
        </w:rPr>
        <w:t>i</w:t>
      </w:r>
    </w:p>
    <w:p w14:paraId="4AA2A9EC" w14:textId="77777777" w:rsidR="00D43E91" w:rsidRPr="00EC6EAF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 w:val="24"/>
          <w:szCs w:val="24"/>
          <w:lang w:val="sq-AL"/>
        </w:rPr>
      </w:pPr>
      <w:r w:rsidRPr="00EC6EAF">
        <w:rPr>
          <w:b/>
          <w:bCs/>
          <w:caps/>
          <w:sz w:val="24"/>
          <w:szCs w:val="24"/>
          <w:lang w:val="sq-AL"/>
        </w:rPr>
        <w:t>procedurës civile</w:t>
      </w:r>
    </w:p>
    <w:p w14:paraId="5D5D9CDF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caps/>
          <w:sz w:val="24"/>
          <w:szCs w:val="24"/>
          <w:lang w:val="sq-AL"/>
        </w:rPr>
      </w:pPr>
    </w:p>
    <w:p w14:paraId="6B58048E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caps/>
          <w:sz w:val="24"/>
          <w:szCs w:val="24"/>
          <w:lang w:val="sq-AL"/>
        </w:rPr>
      </w:pPr>
      <w:r w:rsidRPr="00EC6EAF">
        <w:rPr>
          <w:b/>
          <w:bCs/>
          <w:caps/>
          <w:sz w:val="24"/>
          <w:szCs w:val="24"/>
          <w:lang w:val="sq-AL"/>
        </w:rPr>
        <w:t>i Republikës së shqipërisë</w:t>
      </w:r>
    </w:p>
    <w:p w14:paraId="2AB3AADB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caps/>
          <w:sz w:val="24"/>
          <w:szCs w:val="24"/>
          <w:lang w:val="sq-AL"/>
        </w:rPr>
      </w:pPr>
    </w:p>
    <w:p w14:paraId="49AE635B" w14:textId="77777777" w:rsidR="00D43E91" w:rsidRPr="00102DCC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color w:val="000000"/>
          <w:sz w:val="24"/>
          <w:szCs w:val="24"/>
          <w:lang w:val="sq-AL"/>
        </w:rPr>
        <w:t xml:space="preserve">Miratuar me ligjin nr.8116, datë 29.3.1996 </w:t>
      </w:r>
      <w:r>
        <w:rPr>
          <w:b/>
          <w:bCs/>
          <w:iCs/>
          <w:color w:val="000000"/>
          <w:sz w:val="24"/>
          <w:szCs w:val="24"/>
          <w:lang w:val="sq-AL"/>
        </w:rPr>
        <w:t>(</w:t>
      </w:r>
      <w:r>
        <w:rPr>
          <w:rStyle w:val="FootnoteReference"/>
          <w:b/>
          <w:bCs/>
          <w:iCs/>
          <w:color w:val="000000"/>
          <w:sz w:val="24"/>
          <w:szCs w:val="24"/>
          <w:lang w:val="sq-AL"/>
        </w:rPr>
        <w:footnoteReference w:id="1"/>
      </w:r>
      <w:r>
        <w:rPr>
          <w:b/>
          <w:bCs/>
          <w:iCs/>
          <w:color w:val="000000"/>
          <w:sz w:val="24"/>
          <w:szCs w:val="24"/>
          <w:lang w:val="sq-AL"/>
        </w:rPr>
        <w:t>)</w:t>
      </w:r>
    </w:p>
    <w:p w14:paraId="4226850E" w14:textId="77777777" w:rsidR="00D43E91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dhe ndryshuar me ligjet</w:t>
      </w:r>
      <w:r>
        <w:rPr>
          <w:b/>
          <w:bCs/>
          <w:i/>
          <w:iCs/>
          <w:sz w:val="24"/>
          <w:szCs w:val="24"/>
          <w:lang w:val="sq-AL"/>
        </w:rPr>
        <w:t>:</w:t>
      </w:r>
    </w:p>
    <w:p w14:paraId="5ACB529C" w14:textId="77777777" w:rsidR="00D43E91" w:rsidRPr="00102DCC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 xml:space="preserve"> nr.8431, datë 14.12.1998</w:t>
      </w:r>
      <w:r w:rsidRPr="009E77C9">
        <w:rPr>
          <w:b/>
          <w:bCs/>
          <w:iCs/>
          <w:sz w:val="24"/>
          <w:szCs w:val="24"/>
          <w:lang w:val="sq-AL"/>
        </w:rPr>
        <w:t>;</w:t>
      </w:r>
      <w:r>
        <w:rPr>
          <w:b/>
          <w:bCs/>
          <w:i/>
          <w:iCs/>
          <w:sz w:val="24"/>
          <w:szCs w:val="24"/>
          <w:lang w:val="sq-AL"/>
        </w:rPr>
        <w:t xml:space="preserve"> </w:t>
      </w:r>
      <w:r w:rsidRPr="00102DCC">
        <w:rPr>
          <w:b/>
          <w:bCs/>
          <w:iCs/>
          <w:sz w:val="24"/>
          <w:szCs w:val="24"/>
          <w:lang w:val="sq-AL"/>
        </w:rPr>
        <w:t>(</w:t>
      </w:r>
      <w:r w:rsidRPr="00102DCC">
        <w:rPr>
          <w:b/>
          <w:bCs/>
          <w:iCs/>
          <w:sz w:val="24"/>
          <w:szCs w:val="24"/>
          <w:vertAlign w:val="superscript"/>
          <w:lang w:val="sq-AL"/>
        </w:rPr>
        <w:footnoteReference w:id="2"/>
      </w:r>
      <w:r w:rsidRPr="00102DCC">
        <w:rPr>
          <w:b/>
          <w:bCs/>
          <w:iCs/>
          <w:sz w:val="24"/>
          <w:szCs w:val="24"/>
          <w:lang w:val="sq-AL"/>
        </w:rPr>
        <w:t>)</w:t>
      </w:r>
    </w:p>
    <w:p w14:paraId="452D136C" w14:textId="77777777" w:rsidR="00D43E91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 xml:space="preserve"> nr.8491, datë 27.5.1999</w:t>
      </w:r>
      <w:r w:rsidRPr="00254EF8">
        <w:rPr>
          <w:b/>
          <w:bCs/>
          <w:iCs/>
          <w:sz w:val="24"/>
          <w:szCs w:val="24"/>
          <w:lang w:val="sq-AL"/>
        </w:rPr>
        <w:t xml:space="preserve">; </w:t>
      </w:r>
      <w:r w:rsidRPr="00102DCC">
        <w:rPr>
          <w:b/>
          <w:bCs/>
          <w:iCs/>
          <w:sz w:val="24"/>
          <w:szCs w:val="24"/>
          <w:lang w:val="sq-AL"/>
        </w:rPr>
        <w:t>(</w:t>
      </w:r>
      <w:r w:rsidRPr="00102DCC">
        <w:rPr>
          <w:b/>
          <w:bCs/>
          <w:iCs/>
          <w:sz w:val="24"/>
          <w:szCs w:val="24"/>
          <w:vertAlign w:val="superscript"/>
          <w:lang w:val="sq-AL"/>
        </w:rPr>
        <w:footnoteReference w:id="3"/>
      </w:r>
      <w:r w:rsidRPr="00102DCC">
        <w:rPr>
          <w:b/>
          <w:bCs/>
          <w:iCs/>
          <w:sz w:val="24"/>
          <w:szCs w:val="24"/>
          <w:lang w:val="sq-AL"/>
        </w:rPr>
        <w:t>)</w:t>
      </w:r>
    </w:p>
    <w:p w14:paraId="6D4EED86" w14:textId="77777777" w:rsidR="00D43E91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nr.8535, datë 18.10.1999</w:t>
      </w:r>
      <w:r w:rsidRPr="009E77C9">
        <w:rPr>
          <w:b/>
          <w:bCs/>
          <w:iCs/>
          <w:sz w:val="24"/>
          <w:szCs w:val="24"/>
          <w:lang w:val="sq-AL"/>
        </w:rPr>
        <w:t>;</w:t>
      </w:r>
      <w:r w:rsidRPr="00EC6EAF">
        <w:rPr>
          <w:b/>
          <w:bCs/>
          <w:i/>
          <w:iCs/>
          <w:sz w:val="24"/>
          <w:szCs w:val="24"/>
          <w:lang w:val="sq-AL"/>
        </w:rPr>
        <w:t xml:space="preserve">  </w:t>
      </w:r>
      <w:r w:rsidRPr="009E77C9">
        <w:rPr>
          <w:b/>
          <w:bCs/>
          <w:iCs/>
          <w:sz w:val="24"/>
          <w:szCs w:val="24"/>
          <w:lang w:val="sq-AL"/>
        </w:rPr>
        <w:t>(</w:t>
      </w:r>
      <w:r w:rsidRPr="009E77C9">
        <w:rPr>
          <w:b/>
          <w:bCs/>
          <w:iCs/>
          <w:sz w:val="24"/>
          <w:szCs w:val="24"/>
          <w:vertAlign w:val="superscript"/>
          <w:lang w:val="sq-AL"/>
        </w:rPr>
        <w:footnoteReference w:id="4"/>
      </w:r>
      <w:r w:rsidRPr="009E77C9">
        <w:rPr>
          <w:b/>
          <w:bCs/>
          <w:iCs/>
          <w:sz w:val="24"/>
          <w:szCs w:val="24"/>
          <w:lang w:val="sq-AL"/>
        </w:rPr>
        <w:t>)</w:t>
      </w:r>
    </w:p>
    <w:p w14:paraId="07FB1EFA" w14:textId="77777777" w:rsidR="00D43E91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nr.8812, datë 17.5.2001</w:t>
      </w:r>
      <w:r w:rsidRPr="009E77C9">
        <w:rPr>
          <w:b/>
          <w:bCs/>
          <w:iCs/>
          <w:sz w:val="24"/>
          <w:szCs w:val="24"/>
          <w:lang w:val="sq-AL"/>
        </w:rPr>
        <w:t>; (</w:t>
      </w:r>
      <w:r w:rsidRPr="009E77C9">
        <w:rPr>
          <w:b/>
          <w:bCs/>
          <w:iCs/>
          <w:sz w:val="24"/>
          <w:szCs w:val="24"/>
          <w:vertAlign w:val="superscript"/>
          <w:lang w:val="sq-AL"/>
        </w:rPr>
        <w:footnoteReference w:id="5"/>
      </w:r>
      <w:r w:rsidRPr="009E77C9">
        <w:rPr>
          <w:b/>
          <w:bCs/>
          <w:iCs/>
          <w:sz w:val="24"/>
          <w:szCs w:val="24"/>
          <w:lang w:val="sq-AL"/>
        </w:rPr>
        <w:t>)</w:t>
      </w:r>
    </w:p>
    <w:p w14:paraId="47E00282" w14:textId="77777777" w:rsidR="00D43E91" w:rsidRPr="00EC6EAF" w:rsidRDefault="00D43E91" w:rsidP="00D43E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 xml:space="preserve"> nr.9953, datë 14.7.2008</w:t>
      </w:r>
      <w:r>
        <w:rPr>
          <w:b/>
          <w:bCs/>
          <w:iCs/>
          <w:sz w:val="24"/>
          <w:szCs w:val="24"/>
          <w:lang w:val="sq-AL"/>
        </w:rPr>
        <w:t>;</w:t>
      </w:r>
      <w:r w:rsidRPr="00254EF8">
        <w:rPr>
          <w:b/>
          <w:bCs/>
          <w:iCs/>
          <w:sz w:val="24"/>
          <w:szCs w:val="24"/>
          <w:lang w:val="sq-AL"/>
        </w:rPr>
        <w:t xml:space="preserve"> (</w:t>
      </w:r>
      <w:r w:rsidRPr="00254EF8">
        <w:rPr>
          <w:b/>
          <w:bCs/>
          <w:iCs/>
          <w:sz w:val="24"/>
          <w:szCs w:val="24"/>
          <w:vertAlign w:val="superscript"/>
          <w:lang w:val="sq-AL"/>
        </w:rPr>
        <w:footnoteReference w:id="6"/>
      </w:r>
      <w:r w:rsidRPr="00254EF8">
        <w:rPr>
          <w:b/>
          <w:bCs/>
          <w:iCs/>
          <w:sz w:val="24"/>
          <w:szCs w:val="24"/>
          <w:lang w:val="sq-AL"/>
        </w:rPr>
        <w:t>)</w:t>
      </w:r>
      <w:r>
        <w:rPr>
          <w:b/>
          <w:bCs/>
          <w:iCs/>
          <w:sz w:val="24"/>
          <w:szCs w:val="24"/>
          <w:lang w:val="sq-AL"/>
        </w:rPr>
        <w:t xml:space="preserve"> </w:t>
      </w:r>
      <w:r w:rsidRPr="00EC6EAF">
        <w:rPr>
          <w:b/>
          <w:bCs/>
          <w:i/>
          <w:iCs/>
          <w:sz w:val="24"/>
          <w:szCs w:val="24"/>
          <w:lang w:val="sq-AL"/>
        </w:rPr>
        <w:t xml:space="preserve"> </w:t>
      </w:r>
    </w:p>
    <w:p w14:paraId="77CD1D13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nr.10052, datë 29.12.2008</w:t>
      </w:r>
      <w:r w:rsidRPr="00254EF8">
        <w:rPr>
          <w:b/>
          <w:bCs/>
          <w:iCs/>
          <w:sz w:val="24"/>
          <w:szCs w:val="24"/>
          <w:lang w:val="sq-AL"/>
        </w:rPr>
        <w:t>; (</w:t>
      </w:r>
      <w:r w:rsidRPr="00254EF8">
        <w:rPr>
          <w:b/>
          <w:bCs/>
          <w:iCs/>
          <w:sz w:val="24"/>
          <w:szCs w:val="24"/>
          <w:vertAlign w:val="superscript"/>
          <w:lang w:val="sq-AL"/>
        </w:rPr>
        <w:footnoteReference w:id="7"/>
      </w:r>
      <w:r w:rsidRPr="00254EF8">
        <w:rPr>
          <w:b/>
          <w:bCs/>
          <w:iCs/>
          <w:sz w:val="24"/>
          <w:szCs w:val="24"/>
          <w:lang w:val="sq-AL"/>
        </w:rPr>
        <w:t>)</w:t>
      </w:r>
    </w:p>
    <w:p w14:paraId="12E158AB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nr. 122/2013, datë 18.4.2013</w:t>
      </w:r>
      <w:r w:rsidRPr="00254EF8">
        <w:rPr>
          <w:b/>
          <w:bCs/>
          <w:iCs/>
          <w:sz w:val="24"/>
          <w:szCs w:val="24"/>
          <w:lang w:val="sq-AL"/>
        </w:rPr>
        <w:t>;</w:t>
      </w:r>
      <w:r>
        <w:rPr>
          <w:b/>
          <w:bCs/>
          <w:iCs/>
          <w:sz w:val="24"/>
          <w:szCs w:val="24"/>
          <w:lang w:val="sq-AL"/>
        </w:rPr>
        <w:t xml:space="preserve"> </w:t>
      </w:r>
      <w:r w:rsidRPr="00254EF8">
        <w:rPr>
          <w:b/>
          <w:bCs/>
          <w:iCs/>
          <w:sz w:val="24"/>
          <w:szCs w:val="24"/>
          <w:lang w:val="sq-AL"/>
        </w:rPr>
        <w:t>(</w:t>
      </w:r>
      <w:r w:rsidRPr="00254EF8">
        <w:rPr>
          <w:b/>
          <w:bCs/>
          <w:iCs/>
          <w:sz w:val="24"/>
          <w:szCs w:val="24"/>
          <w:vertAlign w:val="superscript"/>
          <w:lang w:val="sq-AL"/>
        </w:rPr>
        <w:footnoteReference w:id="8"/>
      </w:r>
      <w:r w:rsidRPr="00254EF8">
        <w:rPr>
          <w:b/>
          <w:bCs/>
          <w:iCs/>
          <w:sz w:val="24"/>
          <w:szCs w:val="24"/>
          <w:lang w:val="sq-AL"/>
        </w:rPr>
        <w:t>)</w:t>
      </w:r>
    </w:p>
    <w:p w14:paraId="6A1347D9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nr. 160/2013, datë 17.10.2013</w:t>
      </w:r>
      <w:r w:rsidRPr="00BC6AB4">
        <w:rPr>
          <w:b/>
          <w:bCs/>
          <w:iCs/>
          <w:sz w:val="24"/>
          <w:szCs w:val="24"/>
          <w:lang w:val="sq-AL"/>
        </w:rPr>
        <w:t>;</w:t>
      </w:r>
      <w:r>
        <w:rPr>
          <w:b/>
          <w:bCs/>
          <w:iCs/>
          <w:sz w:val="24"/>
          <w:szCs w:val="24"/>
          <w:lang w:val="sq-AL"/>
        </w:rPr>
        <w:t xml:space="preserve"> </w:t>
      </w:r>
      <w:r w:rsidRPr="00BC6AB4">
        <w:rPr>
          <w:b/>
          <w:bCs/>
          <w:iCs/>
          <w:sz w:val="24"/>
          <w:szCs w:val="24"/>
          <w:lang w:val="sq-AL"/>
        </w:rPr>
        <w:t>(</w:t>
      </w:r>
      <w:r w:rsidRPr="00BC6AB4">
        <w:rPr>
          <w:b/>
          <w:bCs/>
          <w:iCs/>
          <w:sz w:val="24"/>
          <w:szCs w:val="24"/>
          <w:vertAlign w:val="superscript"/>
          <w:lang w:val="sq-AL"/>
        </w:rPr>
        <w:footnoteReference w:id="9"/>
      </w:r>
      <w:r w:rsidRPr="00BC6AB4">
        <w:rPr>
          <w:b/>
          <w:bCs/>
          <w:iCs/>
          <w:sz w:val="24"/>
          <w:szCs w:val="24"/>
          <w:lang w:val="sq-AL"/>
        </w:rPr>
        <w:t>)</w:t>
      </w:r>
    </w:p>
    <w:p w14:paraId="00B844B9" w14:textId="77777777" w:rsidR="00D43E91" w:rsidRDefault="00D43E91" w:rsidP="00D43E91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  <w:r w:rsidRPr="00EC6EAF">
        <w:rPr>
          <w:b/>
          <w:bCs/>
          <w:i/>
          <w:iCs/>
          <w:sz w:val="24"/>
          <w:szCs w:val="24"/>
          <w:lang w:val="sq-AL"/>
        </w:rPr>
        <w:t>Vendimin e Gjykatës K</w:t>
      </w:r>
      <w:r>
        <w:rPr>
          <w:b/>
          <w:bCs/>
          <w:i/>
          <w:iCs/>
          <w:sz w:val="24"/>
          <w:szCs w:val="24"/>
          <w:lang w:val="sq-AL"/>
        </w:rPr>
        <w:t>ushtetuese nr.11, datë 5.4.2013</w:t>
      </w:r>
      <w:r w:rsidRPr="009F5CBA">
        <w:rPr>
          <w:b/>
          <w:bCs/>
          <w:iCs/>
          <w:sz w:val="24"/>
          <w:szCs w:val="24"/>
          <w:lang w:val="sq-AL"/>
        </w:rPr>
        <w:t>;</w:t>
      </w:r>
    </w:p>
    <w:p w14:paraId="38312E78" w14:textId="77777777" w:rsidR="00D43E91" w:rsidRDefault="00D43E91" w:rsidP="00D43E91">
      <w:pPr>
        <w:spacing w:after="0" w:line="240" w:lineRule="auto"/>
        <w:jc w:val="center"/>
        <w:rPr>
          <w:b/>
          <w:bCs/>
          <w:iCs/>
          <w:sz w:val="24"/>
          <w:szCs w:val="24"/>
          <w:lang w:val="sq-AL"/>
        </w:rPr>
      </w:pPr>
      <w:r>
        <w:rPr>
          <w:b/>
          <w:bCs/>
          <w:i/>
          <w:iCs/>
          <w:sz w:val="24"/>
          <w:szCs w:val="24"/>
          <w:lang w:val="sq-AL"/>
        </w:rPr>
        <w:t xml:space="preserve"> </w:t>
      </w:r>
      <w:r w:rsidRPr="00296D0B">
        <w:rPr>
          <w:b/>
          <w:bCs/>
          <w:i/>
          <w:iCs/>
          <w:sz w:val="24"/>
          <w:szCs w:val="24"/>
          <w:lang w:val="sq-AL"/>
        </w:rPr>
        <w:t xml:space="preserve"> nr. 114/2016, datë 03.11.2016</w:t>
      </w:r>
      <w:r w:rsidRPr="009F5CBA">
        <w:rPr>
          <w:b/>
          <w:bCs/>
          <w:iCs/>
          <w:sz w:val="24"/>
          <w:szCs w:val="24"/>
          <w:lang w:val="sq-AL"/>
        </w:rPr>
        <w:t>;</w:t>
      </w:r>
      <w:r>
        <w:rPr>
          <w:b/>
          <w:bCs/>
          <w:iCs/>
          <w:sz w:val="24"/>
          <w:szCs w:val="24"/>
          <w:lang w:val="sq-AL"/>
        </w:rPr>
        <w:t xml:space="preserve"> </w:t>
      </w:r>
      <w:r w:rsidRPr="009F5CBA">
        <w:rPr>
          <w:b/>
          <w:bCs/>
          <w:iCs/>
          <w:sz w:val="24"/>
          <w:szCs w:val="24"/>
          <w:lang w:val="sq-AL"/>
        </w:rPr>
        <w:t>(</w:t>
      </w:r>
      <w:r w:rsidRPr="009F5CBA">
        <w:rPr>
          <w:b/>
          <w:bCs/>
          <w:iCs/>
          <w:sz w:val="24"/>
          <w:szCs w:val="24"/>
          <w:vertAlign w:val="superscript"/>
          <w:lang w:val="sq-AL"/>
        </w:rPr>
        <w:footnoteReference w:id="10"/>
      </w:r>
      <w:r w:rsidRPr="009F5CBA">
        <w:rPr>
          <w:b/>
          <w:bCs/>
          <w:iCs/>
          <w:sz w:val="24"/>
          <w:szCs w:val="24"/>
          <w:lang w:val="sq-AL"/>
        </w:rPr>
        <w:t>)</w:t>
      </w:r>
    </w:p>
    <w:p w14:paraId="51D09373" w14:textId="77777777" w:rsidR="00D43E91" w:rsidRPr="009F5CBA" w:rsidRDefault="00D43E91" w:rsidP="00D43E91">
      <w:pPr>
        <w:spacing w:after="0" w:line="240" w:lineRule="auto"/>
        <w:jc w:val="center"/>
        <w:rPr>
          <w:b/>
          <w:bCs/>
          <w:iCs/>
          <w:sz w:val="24"/>
          <w:szCs w:val="24"/>
          <w:lang w:val="sq-AL"/>
        </w:rPr>
      </w:pPr>
      <w:r>
        <w:rPr>
          <w:b/>
          <w:bCs/>
          <w:i/>
          <w:iCs/>
          <w:sz w:val="24"/>
          <w:szCs w:val="24"/>
          <w:lang w:val="sq-AL"/>
        </w:rPr>
        <w:t>nr. 38/2017, datë 30.03.2017</w:t>
      </w:r>
      <w:r>
        <w:rPr>
          <w:b/>
          <w:bCs/>
          <w:iCs/>
          <w:sz w:val="24"/>
          <w:szCs w:val="24"/>
          <w:lang w:val="sq-AL"/>
        </w:rPr>
        <w:t xml:space="preserve">; </w:t>
      </w:r>
      <w:r w:rsidRPr="009F5CBA">
        <w:rPr>
          <w:b/>
          <w:bCs/>
          <w:iCs/>
          <w:sz w:val="24"/>
          <w:szCs w:val="24"/>
          <w:lang w:val="sq-AL"/>
        </w:rPr>
        <w:t>(</w:t>
      </w:r>
      <w:r w:rsidRPr="009F5CBA">
        <w:rPr>
          <w:b/>
          <w:bCs/>
          <w:iCs/>
          <w:sz w:val="24"/>
          <w:szCs w:val="24"/>
          <w:vertAlign w:val="superscript"/>
          <w:lang w:val="sq-AL"/>
        </w:rPr>
        <w:footnoteReference w:id="11"/>
      </w:r>
      <w:r w:rsidRPr="009F5CBA">
        <w:rPr>
          <w:b/>
          <w:bCs/>
          <w:iCs/>
          <w:sz w:val="24"/>
          <w:szCs w:val="24"/>
          <w:lang w:val="sq-AL"/>
        </w:rPr>
        <w:t>)</w:t>
      </w:r>
    </w:p>
    <w:p w14:paraId="49B5909F" w14:textId="77777777" w:rsidR="00D43E91" w:rsidRPr="00EC6EAF" w:rsidRDefault="00D43E91" w:rsidP="00D43E91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val="sq-AL"/>
        </w:rPr>
      </w:pPr>
    </w:p>
    <w:p w14:paraId="6F233D36" w14:textId="1FED6A09" w:rsidR="00D43E91" w:rsidRPr="00EC6EAF" w:rsidRDefault="00D43E91" w:rsidP="00D43E91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sq-AL"/>
        </w:rPr>
      </w:pPr>
    </w:p>
    <w:p w14:paraId="35F0234C" w14:textId="77777777" w:rsidR="00D43E91" w:rsidRPr="00EC6EAF" w:rsidRDefault="00D43E91" w:rsidP="00D43E91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sq-AL"/>
        </w:rPr>
      </w:pPr>
    </w:p>
    <w:p w14:paraId="5886FCFD" w14:textId="77777777" w:rsidR="00D43E91" w:rsidRPr="00EC6EAF" w:rsidRDefault="00D43E91" w:rsidP="00D43E91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sq-AL"/>
        </w:rPr>
      </w:pPr>
    </w:p>
    <w:p w14:paraId="0DB3E50F" w14:textId="77777777" w:rsid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sz w:val="24"/>
          <w:szCs w:val="24"/>
          <w:lang w:val="sq-AL"/>
        </w:rPr>
      </w:pPr>
    </w:p>
    <w:p w14:paraId="17EAC977" w14:textId="77777777" w:rsid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sz w:val="24"/>
          <w:szCs w:val="24"/>
          <w:lang w:val="sq-AL"/>
        </w:rPr>
      </w:pPr>
    </w:p>
    <w:p w14:paraId="6806213A" w14:textId="49673861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>Neni 25</w:t>
      </w:r>
      <w:r>
        <w:rPr>
          <w:rFonts w:ascii="CG Times" w:hAnsi="CG Times" w:cs="CG Times"/>
          <w:sz w:val="24"/>
          <w:szCs w:val="24"/>
          <w:lang w:val="sq-AL"/>
        </w:rPr>
        <w:t xml:space="preserve"> (</w:t>
      </w:r>
      <w:r>
        <w:rPr>
          <w:rStyle w:val="FootnoteReference"/>
          <w:rFonts w:ascii="CG Times" w:hAnsi="CG Times" w:cs="CG Times"/>
          <w:sz w:val="24"/>
          <w:szCs w:val="24"/>
          <w:lang w:val="sq-AL"/>
        </w:rPr>
        <w:footnoteReference w:id="12"/>
      </w:r>
      <w:r>
        <w:rPr>
          <w:rFonts w:ascii="CG Times" w:hAnsi="CG Times" w:cs="CG Times"/>
          <w:sz w:val="24"/>
          <w:szCs w:val="24"/>
          <w:lang w:val="sq-AL"/>
        </w:rPr>
        <w:t>)</w:t>
      </w:r>
    </w:p>
    <w:p w14:paraId="4E3592EC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sz w:val="24"/>
          <w:szCs w:val="24"/>
          <w:lang w:val="sq-AL"/>
        </w:rPr>
      </w:pPr>
    </w:p>
    <w:p w14:paraId="7852544D" w14:textId="77777777" w:rsid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b/>
          <w:sz w:val="24"/>
          <w:szCs w:val="24"/>
          <w:lang w:val="sq-AL"/>
        </w:rPr>
      </w:pPr>
      <w:r w:rsidRPr="00BD6DF1">
        <w:rPr>
          <w:rFonts w:ascii="CG Times" w:hAnsi="CG Times" w:cs="CG Times"/>
          <w:b/>
          <w:sz w:val="24"/>
          <w:szCs w:val="24"/>
          <w:lang w:val="sq-AL"/>
        </w:rPr>
        <w:t>Pajtimi dhe ndërmjetësimi i palëve</w:t>
      </w:r>
    </w:p>
    <w:p w14:paraId="097915BF" w14:textId="77777777" w:rsidR="00D43E91" w:rsidRPr="0075143B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i/>
          <w:sz w:val="24"/>
          <w:szCs w:val="24"/>
          <w:lang w:val="sq-AL"/>
        </w:rPr>
      </w:pPr>
      <w:r w:rsidRPr="0075143B">
        <w:rPr>
          <w:rFonts w:ascii="CG Times" w:hAnsi="CG Times" w:cs="CG Times"/>
          <w:bCs/>
          <w:i/>
          <w:sz w:val="24"/>
          <w:szCs w:val="24"/>
          <w:lang w:val="sq-AL"/>
        </w:rPr>
        <w:t xml:space="preserve"> (</w:t>
      </w:r>
      <w:r>
        <w:rPr>
          <w:rFonts w:ascii="CG Times" w:hAnsi="CG Times" w:cs="CG Times"/>
          <w:bCs/>
          <w:i/>
          <w:sz w:val="24"/>
          <w:szCs w:val="24"/>
          <w:lang w:val="sq-AL"/>
        </w:rPr>
        <w:t>Ndryshuar me ligjin nr. 38/2017, datë 30.03.2017, neni 2</w:t>
      </w:r>
      <w:r w:rsidRPr="0075143B">
        <w:rPr>
          <w:rFonts w:ascii="CG Times" w:hAnsi="CG Times" w:cs="CG Times"/>
          <w:bCs/>
          <w:i/>
          <w:sz w:val="24"/>
          <w:szCs w:val="24"/>
          <w:lang w:val="sq-AL"/>
        </w:rPr>
        <w:t>)</w:t>
      </w:r>
    </w:p>
    <w:p w14:paraId="0543F8F6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sz w:val="24"/>
          <w:szCs w:val="24"/>
          <w:lang w:val="sq-AL"/>
        </w:rPr>
      </w:pPr>
    </w:p>
    <w:p w14:paraId="1BB2AE2A" w14:textId="77777777" w:rsidR="00D43E91" w:rsidRP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b/>
          <w:bCs/>
          <w:sz w:val="24"/>
          <w:szCs w:val="24"/>
          <w:lang w:val="sq-AL"/>
        </w:rPr>
      </w:pPr>
      <w:r>
        <w:rPr>
          <w:rFonts w:ascii="CG Times" w:hAnsi="CG Times" w:cs="CG Times"/>
          <w:sz w:val="24"/>
          <w:szCs w:val="24"/>
          <w:lang w:val="sq-AL"/>
        </w:rPr>
        <w:tab/>
      </w:r>
      <w:r w:rsidRPr="00D43E91">
        <w:rPr>
          <w:rFonts w:ascii="CG Times" w:hAnsi="CG Times" w:cs="CG Times"/>
          <w:b/>
          <w:bCs/>
          <w:sz w:val="24"/>
          <w:szCs w:val="24"/>
          <w:lang w:val="sq-AL"/>
        </w:rPr>
        <w:t>Është detyrë e gjykatës që të bëjë përpjekje për të pajtuar palët në mosmarrëveshje dhe/ose të njoftojë e të udhëzojë palët për mundësinë e zgjidhjes së mosmarrëveshjes me ndërmjetësim.(</w:t>
      </w:r>
      <w:r w:rsidRPr="00D43E91">
        <w:rPr>
          <w:rStyle w:val="FootnoteReference"/>
          <w:rFonts w:ascii="CG Times" w:hAnsi="CG Times" w:cs="CG Times"/>
          <w:b/>
          <w:bCs/>
          <w:sz w:val="24"/>
          <w:szCs w:val="24"/>
          <w:lang w:val="sq-AL"/>
        </w:rPr>
        <w:footnoteReference w:id="13"/>
      </w:r>
      <w:r w:rsidRPr="00D43E91">
        <w:rPr>
          <w:rFonts w:ascii="CG Times" w:hAnsi="CG Times" w:cs="CG Times"/>
          <w:b/>
          <w:bCs/>
          <w:sz w:val="24"/>
          <w:szCs w:val="24"/>
          <w:lang w:val="sq-AL"/>
        </w:rPr>
        <w:t>).</w:t>
      </w:r>
    </w:p>
    <w:p w14:paraId="30D04EF6" w14:textId="77777777" w:rsidR="00D43E91" w:rsidRP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b/>
          <w:bCs/>
          <w:sz w:val="24"/>
          <w:szCs w:val="24"/>
          <w:lang w:val="sq-AL"/>
        </w:rPr>
      </w:pPr>
    </w:p>
    <w:p w14:paraId="25A67244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sz w:val="24"/>
          <w:szCs w:val="24"/>
          <w:lang w:val="sq-AL"/>
        </w:rPr>
      </w:pPr>
      <w:r>
        <w:tab/>
      </w:r>
      <w:r w:rsidRPr="00EC6EAF">
        <w:rPr>
          <w:rFonts w:ascii="CG Times" w:hAnsi="CG Times" w:cs="CG Times"/>
          <w:sz w:val="24"/>
          <w:szCs w:val="24"/>
          <w:lang w:val="sq-AL"/>
        </w:rPr>
        <w:t>Neni 108</w:t>
      </w:r>
    </w:p>
    <w:p w14:paraId="7D7A55E5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i/>
          <w:iCs/>
          <w:sz w:val="24"/>
          <w:szCs w:val="24"/>
          <w:lang w:val="sq-AL"/>
        </w:rPr>
      </w:pPr>
      <w:r w:rsidRPr="00EC6EAF">
        <w:rPr>
          <w:rFonts w:ascii="CG Times" w:hAnsi="CG Times" w:cs="CG Times"/>
          <w:i/>
          <w:iCs/>
          <w:sz w:val="24"/>
          <w:szCs w:val="24"/>
          <w:lang w:val="sq-AL"/>
        </w:rPr>
        <w:t>(Ndryshuar me ligjin nr.8812, datë 17.5.2001, neni 25)</w:t>
      </w:r>
    </w:p>
    <w:p w14:paraId="593E1F10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ab/>
      </w:r>
    </w:p>
    <w:p w14:paraId="3F3A7FCE" w14:textId="77777777" w:rsidR="00D43E91" w:rsidRP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b/>
          <w:bCs/>
          <w:sz w:val="24"/>
          <w:szCs w:val="24"/>
          <w:lang w:val="sq-AL"/>
        </w:rPr>
      </w:pPr>
      <w:r w:rsidRPr="00D43E91">
        <w:rPr>
          <w:rFonts w:ascii="CG Times" w:hAnsi="CG Times" w:cs="CG Times"/>
          <w:b/>
          <w:bCs/>
          <w:sz w:val="24"/>
          <w:szCs w:val="24"/>
          <w:lang w:val="sq-AL"/>
        </w:rPr>
        <w:tab/>
        <w:t xml:space="preserve">Kur çështja përfundon me pajtim, shpenzimet gjyqësore mbeten në ngarkim të secilës palë që i ka bërë, përveç kur ka marrëveshje të kundërt. </w:t>
      </w:r>
    </w:p>
    <w:p w14:paraId="5DB5604E" w14:textId="6594B75F" w:rsidR="0030283F" w:rsidRDefault="0030283F" w:rsidP="00D43E91">
      <w:pPr>
        <w:tabs>
          <w:tab w:val="left" w:pos="3570"/>
        </w:tabs>
        <w:rPr>
          <w:lang w:val="sq-AL"/>
        </w:rPr>
      </w:pPr>
    </w:p>
    <w:p w14:paraId="154BB0AC" w14:textId="13C58550" w:rsidR="00D43E91" w:rsidRPr="00D43E91" w:rsidRDefault="00D43E91" w:rsidP="00D43E91">
      <w:pPr>
        <w:rPr>
          <w:lang w:val="sq-AL"/>
        </w:rPr>
      </w:pPr>
    </w:p>
    <w:p w14:paraId="1B9804D6" w14:textId="31FE571E" w:rsidR="00D43E91" w:rsidRDefault="00D43E91" w:rsidP="00D43E91">
      <w:pPr>
        <w:rPr>
          <w:lang w:val="sq-AL"/>
        </w:rPr>
      </w:pPr>
    </w:p>
    <w:p w14:paraId="59F11A99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sz w:val="24"/>
          <w:szCs w:val="24"/>
          <w:lang w:val="sq-AL"/>
        </w:rPr>
      </w:pPr>
      <w:r>
        <w:rPr>
          <w:lang w:val="sq-AL"/>
        </w:rPr>
        <w:tab/>
      </w:r>
    </w:p>
    <w:p w14:paraId="119639B9" w14:textId="5BB4E3BE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>Neni 461</w:t>
      </w:r>
    </w:p>
    <w:p w14:paraId="4B313563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jc w:val="center"/>
        <w:rPr>
          <w:rFonts w:ascii="CG Times" w:hAnsi="CG Times" w:cs="CG Times"/>
          <w:i/>
          <w:iCs/>
          <w:sz w:val="24"/>
          <w:szCs w:val="24"/>
          <w:lang w:val="sq-AL"/>
        </w:rPr>
      </w:pPr>
      <w:r w:rsidRPr="00EC6EAF">
        <w:rPr>
          <w:rFonts w:ascii="CG Times" w:hAnsi="CG Times" w:cs="CG Times"/>
          <w:i/>
          <w:iCs/>
          <w:sz w:val="24"/>
          <w:szCs w:val="24"/>
          <w:lang w:val="sq-AL"/>
        </w:rPr>
        <w:t xml:space="preserve">(Shtuar paragrafi II, III me ligjin nr.8431, datë 14.12.1998, neni 2) </w:t>
      </w:r>
    </w:p>
    <w:p w14:paraId="39DA063C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ab/>
      </w:r>
    </w:p>
    <w:p w14:paraId="7C2DFB84" w14:textId="77777777" w:rsidR="00D43E91" w:rsidRPr="00D43E91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b/>
          <w:bCs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ab/>
      </w:r>
      <w:r w:rsidRPr="00D43E91">
        <w:rPr>
          <w:rFonts w:ascii="CG Times" w:hAnsi="CG Times" w:cs="CG Times"/>
          <w:b/>
          <w:bCs/>
          <w:sz w:val="24"/>
          <w:szCs w:val="24"/>
          <w:lang w:val="sq-AL"/>
        </w:rPr>
        <w:t>Fillimisht gjykata verifikon paraqitjen e rregullt të palëve, bën bashkimin e ankimeve të bëra kundër të njëjtit vendim dhe bën përpjekje për zgjidhjen e çështjes me pajtim.</w:t>
      </w:r>
    </w:p>
    <w:p w14:paraId="0B170159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ab/>
        <w:t>Mosparaqitja e palëve, për të cilat njoftimi është bërë me shpallje, nuk pengon shqyrtimin e çështjes, me përjashtim të rastit kur janë njoftuar shkaqe të arsyeshme për mungesën.</w:t>
      </w:r>
    </w:p>
    <w:p w14:paraId="0C9B79B1" w14:textId="77777777" w:rsidR="00D43E91" w:rsidRPr="00EC6EAF" w:rsidRDefault="00D43E91" w:rsidP="00D43E91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54" w:lineRule="atLeast"/>
        <w:ind w:right="1"/>
        <w:rPr>
          <w:rFonts w:ascii="CG Times" w:hAnsi="CG Times" w:cs="CG Times"/>
          <w:sz w:val="24"/>
          <w:szCs w:val="24"/>
          <w:lang w:val="sq-AL"/>
        </w:rPr>
      </w:pPr>
      <w:r w:rsidRPr="00EC6EAF">
        <w:rPr>
          <w:rFonts w:ascii="CG Times" w:hAnsi="CG Times" w:cs="CG Times"/>
          <w:sz w:val="24"/>
          <w:szCs w:val="24"/>
          <w:lang w:val="sq-AL"/>
        </w:rPr>
        <w:tab/>
        <w:t xml:space="preserve">Gjykata nuk mund të shqyrtojë çështjen në mungesë atëherë kur dëgjimi i palëve është një nga detyrat e rigjykimit ose kur njoftimi ka qenë i parregullt. </w:t>
      </w:r>
    </w:p>
    <w:p w14:paraId="0560D76B" w14:textId="43984448" w:rsidR="00D43E91" w:rsidRPr="00D43E91" w:rsidRDefault="00D43E91" w:rsidP="00D43E91">
      <w:pPr>
        <w:tabs>
          <w:tab w:val="left" w:pos="3744"/>
        </w:tabs>
        <w:rPr>
          <w:lang w:val="sq-AL"/>
        </w:rPr>
      </w:pPr>
    </w:p>
    <w:sectPr w:rsidR="00D43E91" w:rsidRPr="00D43E9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2FB3" w14:textId="77777777" w:rsidR="001B4162" w:rsidRDefault="001B4162" w:rsidP="00D43E91">
      <w:pPr>
        <w:spacing w:after="0" w:line="240" w:lineRule="auto"/>
      </w:pPr>
      <w:r>
        <w:separator/>
      </w:r>
    </w:p>
  </w:endnote>
  <w:endnote w:type="continuationSeparator" w:id="0">
    <w:p w14:paraId="336082B0" w14:textId="77777777" w:rsidR="001B4162" w:rsidRDefault="001B4162" w:rsidP="00D4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983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31C03" w14:textId="10C38D4C" w:rsidR="002F601E" w:rsidRDefault="002F60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CF6EA" w14:textId="77777777" w:rsidR="002F601E" w:rsidRDefault="002F6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4534" w14:textId="77777777" w:rsidR="001B4162" w:rsidRDefault="001B4162" w:rsidP="00D43E91">
      <w:pPr>
        <w:spacing w:after="0" w:line="240" w:lineRule="auto"/>
      </w:pPr>
      <w:r>
        <w:separator/>
      </w:r>
    </w:p>
  </w:footnote>
  <w:footnote w:type="continuationSeparator" w:id="0">
    <w:p w14:paraId="7D24E335" w14:textId="77777777" w:rsidR="001B4162" w:rsidRDefault="001B4162" w:rsidP="00D43E91">
      <w:pPr>
        <w:spacing w:after="0" w:line="240" w:lineRule="auto"/>
      </w:pPr>
      <w:r>
        <w:continuationSeparator/>
      </w:r>
    </w:p>
  </w:footnote>
  <w:footnote w:id="1">
    <w:p w14:paraId="4DA462B5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=201:Ligj:8116:29.03.1996</w:t>
      </w:r>
    </w:p>
  </w:footnote>
  <w:footnote w:id="2">
    <w:p w14:paraId="366B89B4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=201:Ligj:8431:14.12.1998</w:t>
      </w:r>
    </w:p>
  </w:footnote>
  <w:footnote w:id="3">
    <w:p w14:paraId="568E90F6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=201:Ligj:8491:27.05.1999</w:t>
      </w:r>
    </w:p>
  </w:footnote>
  <w:footnote w:id="4">
    <w:p w14:paraId="365C0DA7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=201:Ligj:8535:18.10.1999</w:t>
      </w:r>
    </w:p>
  </w:footnote>
  <w:footnote w:id="5">
    <w:p w14:paraId="048482CF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=201:Ligj:8812:17.05.2001</w:t>
      </w:r>
    </w:p>
  </w:footnote>
  <w:footnote w:id="6">
    <w:p w14:paraId="6A9AE915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=201:Ligj:9953:14.07.2008</w:t>
      </w:r>
    </w:p>
  </w:footnote>
  <w:footnote w:id="7">
    <w:p w14:paraId="53ECB913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=201:Ligj:10052:29.12.2008</w:t>
      </w:r>
    </w:p>
  </w:footnote>
  <w:footnote w:id="8">
    <w:p w14:paraId="3B84DDB4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=201:Ligj:122/2013:18.04.2013</w:t>
      </w:r>
    </w:p>
  </w:footnote>
  <w:footnote w:id="9">
    <w:p w14:paraId="733A0706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=201:Ligj:160/2013:17.10.2013</w:t>
      </w:r>
    </w:p>
  </w:footnote>
  <w:footnote w:id="10">
    <w:p w14:paraId="142C59B5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=201:Ligj:114/2016:03.11.2016</w:t>
      </w:r>
    </w:p>
  </w:footnote>
  <w:footnote w:id="11">
    <w:p w14:paraId="047A3738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80.78.70.231/</w:t>
      </w:r>
      <w:proofErr w:type="spellStart"/>
      <w:r w:rsidRPr="00DE05CB">
        <w:rPr>
          <w:sz w:val="18"/>
          <w:szCs w:val="18"/>
          <w:lang w:val="sq-AL"/>
        </w:rPr>
        <w:t>pls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kuv</w:t>
      </w:r>
      <w:proofErr w:type="spellEnd"/>
      <w:r w:rsidRPr="00DE05CB">
        <w:rPr>
          <w:sz w:val="18"/>
          <w:szCs w:val="18"/>
          <w:lang w:val="sq-AL"/>
        </w:rPr>
        <w:t>/</w:t>
      </w:r>
      <w:proofErr w:type="spellStart"/>
      <w:r w:rsidRPr="00DE05CB">
        <w:rPr>
          <w:sz w:val="18"/>
          <w:szCs w:val="18"/>
          <w:lang w:val="sq-AL"/>
        </w:rPr>
        <w:t>f?p</w:t>
      </w:r>
      <w:proofErr w:type="spellEnd"/>
      <w:r w:rsidRPr="00DE05CB">
        <w:rPr>
          <w:sz w:val="18"/>
          <w:szCs w:val="18"/>
          <w:lang w:val="sq-AL"/>
        </w:rPr>
        <w:t>=201:Ligj:38/2017:30.03.2017</w:t>
      </w:r>
    </w:p>
  </w:footnote>
  <w:footnote w:id="12">
    <w:p w14:paraId="4271F4B4" w14:textId="4591CAC3" w:rsidR="00D43E91" w:rsidRPr="00DE05CB" w:rsidRDefault="00D43E91" w:rsidP="00D43E91">
      <w:pPr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sz w:val="18"/>
          <w:szCs w:val="18"/>
          <w:lang w:val="sq-AL"/>
        </w:rPr>
        <w:t>Nen</w:t>
      </w:r>
      <w:r>
        <w:rPr>
          <w:sz w:val="18"/>
          <w:szCs w:val="18"/>
          <w:lang w:val="sq-AL"/>
        </w:rPr>
        <w:t>i</w:t>
      </w:r>
      <w:r w:rsidRPr="00DE05CB">
        <w:rPr>
          <w:sz w:val="18"/>
          <w:szCs w:val="18"/>
          <w:lang w:val="sq-AL"/>
        </w:rPr>
        <w:t xml:space="preserve"> ndryshuar tërësisht me ligjin nr. 38/2017, datë 30.03.2017, neni 2. Titulli i mëparshëm ishte: Pajtimi i palëve. Teksti i mëparshëm ishte: Është detyrë e gjykatës që të bëjë përpjekje për të pajtuar palët në mosmarrëveshje.</w:t>
      </w:r>
    </w:p>
  </w:footnote>
  <w:footnote w:id="13">
    <w:p w14:paraId="28C58638" w14:textId="77777777" w:rsidR="00D43E91" w:rsidRPr="00DE05CB" w:rsidRDefault="00D43E91" w:rsidP="00D43E91">
      <w:pPr>
        <w:pStyle w:val="FootnoteText"/>
        <w:spacing w:after="0" w:line="240" w:lineRule="auto"/>
        <w:rPr>
          <w:sz w:val="18"/>
          <w:szCs w:val="18"/>
          <w:lang w:val="sq-AL"/>
        </w:rPr>
      </w:pPr>
      <w:r w:rsidRPr="00DE05CB">
        <w:rPr>
          <w:rStyle w:val="FootnoteReference"/>
          <w:sz w:val="18"/>
          <w:szCs w:val="18"/>
          <w:lang w:val="sq-AL"/>
        </w:rPr>
        <w:footnoteRef/>
      </w:r>
      <w:r w:rsidRPr="00DE05CB">
        <w:rPr>
          <w:sz w:val="18"/>
          <w:szCs w:val="18"/>
          <w:lang w:val="sq-AL"/>
        </w:rPr>
        <w:t xml:space="preserve"> </w:t>
      </w:r>
      <w:r w:rsidRPr="00DE05CB">
        <w:rPr>
          <w:color w:val="2F5496"/>
          <w:sz w:val="18"/>
          <w:szCs w:val="18"/>
          <w:lang w:val="sq-AL"/>
        </w:rPr>
        <w:t>Ligji nr.10385, datë 24.2.2011, “Për ndërmjetësimin në zgjidhjen e mosmarrëveshjeve”, ndryshuar me ligjin nr. nr. 81/2013, datë 14.02.2013</w:t>
      </w:r>
      <w:r w:rsidRPr="00DE05CB">
        <w:rPr>
          <w:sz w:val="18"/>
          <w:szCs w:val="18"/>
          <w:lang w:val="sq-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91"/>
    <w:rsid w:val="001B4162"/>
    <w:rsid w:val="002F601E"/>
    <w:rsid w:val="0030283F"/>
    <w:rsid w:val="00D4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F2ED"/>
  <w15:chartTrackingRefBased/>
  <w15:docId w15:val="{E20BFD6E-BC89-427E-8E11-5880E914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91"/>
    <w:pPr>
      <w:spacing w:after="200" w:line="240" w:lineRule="exact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 Char,Char Char"/>
    <w:basedOn w:val="Normal"/>
    <w:link w:val="FootnoteTextChar"/>
    <w:uiPriority w:val="99"/>
    <w:unhideWhenUsed/>
    <w:rsid w:val="00D43E91"/>
    <w:rPr>
      <w:szCs w:val="20"/>
    </w:rPr>
  </w:style>
  <w:style w:type="character" w:customStyle="1" w:styleId="FootnoteTextChar">
    <w:name w:val="Footnote Text Char"/>
    <w:aliases w:val=" Char Char Char,Char Char Char"/>
    <w:basedOn w:val="DefaultParagraphFont"/>
    <w:link w:val="FootnoteText"/>
    <w:uiPriority w:val="99"/>
    <w:rsid w:val="00D43E9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nhideWhenUsed/>
    <w:rsid w:val="00D43E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6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E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F6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1E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Enkeledi Hajro</dc:creator>
  <cp:keywords/>
  <dc:description/>
  <cp:lastModifiedBy>Enkeledi Hajro</cp:lastModifiedBy>
  <cp:revision>2</cp:revision>
  <dcterms:created xsi:type="dcterms:W3CDTF">2021-07-23T10:37:00Z</dcterms:created>
  <dcterms:modified xsi:type="dcterms:W3CDTF">2021-07-23T10:47:00Z</dcterms:modified>
</cp:coreProperties>
</file>